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附件二：</w:t>
      </w:r>
      <w:r>
        <w:rPr>
          <w:rFonts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届（春季）毕业研究生学位授予仪式安排</w:t>
      </w:r>
    </w:p>
    <w:p>
      <w:pPr>
        <w:widowControl/>
        <w:snapToGrid w:val="0"/>
        <w:spacing w:line="440" w:lineRule="exact"/>
        <w:rPr>
          <w:rFonts w:hint="eastAsia" w:ascii="宋体" w:hAnsi="宋体"/>
          <w:sz w:val="24"/>
        </w:rPr>
      </w:pPr>
    </w:p>
    <w:tbl>
      <w:tblPr>
        <w:tblStyle w:val="5"/>
        <w:tblW w:w="88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0"/>
        <w:gridCol w:w="3165"/>
        <w:gridCol w:w="1080"/>
        <w:gridCol w:w="2055"/>
        <w:gridCol w:w="12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校领导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时间（1月18日）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金一斌书记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14:30-14:44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学生活动中心剧院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14:45-14:57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14:58-15:07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环境科学与工程学院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15:08-15:14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信息与电子工程学院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15:15-15:24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计算机与信息工程学院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15:25-15:32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15:33-16:00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16:01-16:08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东方语言文化学院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16:09-16:17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陈寿灿校长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14:30-14:43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综合楼二楼报告厅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旅游与城乡规划学院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14:44-14:50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财务与会计学院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14:51-15:13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食品与生物工程学院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15:14-15:32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管理工程与电子商务学院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15:33-15:40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人文与传播学院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15:41-15:45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15:46-15:58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15:59-16:03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16:04-16:08</w:t>
            </w: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文星简大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67DA"/>
    <w:rsid w:val="000267DA"/>
    <w:rsid w:val="00D85F17"/>
    <w:rsid w:val="228257D1"/>
    <w:rsid w:val="774D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